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b w:val="1"/>
          <w:color w:val="666666"/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color w:val="666666"/>
          <w:sz w:val="32"/>
          <w:szCs w:val="32"/>
          <w:rtl w:val="0"/>
        </w:rPr>
        <w:t xml:space="preserve">Colorado SILC Public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32"/>
          <w:szCs w:val="32"/>
          <w:rtl w:val="0"/>
        </w:rPr>
        <w:t xml:space="preserve">Policy Committee Meeting Minutes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7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Meeting Date &amp; Time: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Second Thursday of the month at 2:00-2:30 PM MST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5265"/>
        <w:tblGridChange w:id="0">
          <w:tblGrid>
            <w:gridCol w:w="4080"/>
            <w:gridCol w:w="52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shd w:fill="d9d9d9" w:val="clear"/>
                <w:rtl w:val="0"/>
              </w:rPr>
              <w:t xml:space="preserve">SILC Members in Attendance: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shd w:fill="d9d9d9" w:val="clear"/>
                <w:rtl w:val="0"/>
              </w:rPr>
              <w:t xml:space="preserve">Non-SILC Committee Members in Attendance: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Style w:val="Title"/>
        <w:pageBreakBefore w:val="0"/>
        <w:rPr>
          <w:rFonts w:ascii="Roboto" w:cs="Roboto" w:eastAsia="Roboto" w:hAnsi="Roboto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pageBreakBefore w:val="0"/>
        <w:rPr>
          <w:rFonts w:ascii="Roboto" w:cs="Roboto" w:eastAsia="Roboto" w:hAnsi="Roboto"/>
          <w:b w:val="1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Agenda/Notes: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Introductions: Brief Introduction: Name, representation such as organization and important information.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Legislation impacting people with Disabilities: State &amp; National legislation relevant to people with disabilities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Current Informational Documents: Informational packets, white papers, or facts sheets reviewed or created by the policy committee to distribute to the Independent Living Community and policy makers.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Created by the Policy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Created by other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Other/Public Comment: Time for the community to provide input on anything relevant to the Public Policy Committee of SILC.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Adjourn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7200" w:firstLine="0"/>
      <w:rPr/>
    </w:pPr>
    <w:r w:rsidDel="00000000" w:rsidR="00000000" w:rsidRPr="00000000">
      <w:rPr>
        <w:rFonts w:ascii="Oswald" w:cs="Oswald" w:eastAsia="Oswald" w:hAnsi="Oswald"/>
        <w:color w:val="666666"/>
        <w:sz w:val="72"/>
        <w:szCs w:val="72"/>
      </w:rPr>
      <w:drawing>
        <wp:inline distB="114300" distT="114300" distL="114300" distR="114300">
          <wp:extent cx="1714500" cy="61912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45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UNFxXEcSGuYIEopWY7Osv8dlZw==">AMUW2mXtAa2NlMaMZdj3DAxN4LybGy+zziMQtpD+qGERm7+WVlQqM+FDKccbg3UjQC2QruUeekANs9162r5oXIjvklbraO7wfshtfvbWO/NIMoGvmW4QPAvEo2Mx1AileohWdckDfxuooT+lRL9ItubkDIOXwILdMA==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