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97E9" w14:textId="77777777" w:rsidR="00D678D2" w:rsidRPr="00E32434" w:rsidRDefault="00B10D18" w:rsidP="00A94162">
      <w:pPr>
        <w:pStyle w:val="Outline1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</w:tabs>
        <w:spacing w:before="0" w:after="120"/>
        <w:ind w:left="0" w:firstLine="0"/>
        <w:rPr>
          <w:color w:val="000000" w:themeColor="text1"/>
          <w:sz w:val="24"/>
          <w:szCs w:val="24"/>
        </w:rPr>
      </w:pPr>
      <w:r w:rsidRPr="00E32434">
        <w:rPr>
          <w:sz w:val="24"/>
          <w:szCs w:val="24"/>
        </w:rPr>
        <w:t xml:space="preserve">29 U.S. Code § 796d mandates that Statewide Independent Living Councils </w:t>
      </w:r>
      <w:r w:rsidR="00A53ECD" w:rsidRPr="00E32434">
        <w:rPr>
          <w:sz w:val="24"/>
          <w:szCs w:val="24"/>
        </w:rPr>
        <w:t xml:space="preserve">(SILC) </w:t>
      </w:r>
      <w:r w:rsidRPr="00E32434">
        <w:rPr>
          <w:sz w:val="24"/>
          <w:szCs w:val="24"/>
        </w:rPr>
        <w:t>develop</w:t>
      </w:r>
      <w:r w:rsidR="00A53ECD" w:rsidRPr="00E32434">
        <w:rPr>
          <w:sz w:val="24"/>
          <w:szCs w:val="24"/>
        </w:rPr>
        <w:t xml:space="preserve">, monitor and evaluate the Statewide Independent Living Plan (SPIL) in conjunction with the Designated State Entity (DSE).  </w:t>
      </w:r>
      <w:r w:rsidR="00AA1505" w:rsidRPr="00E32434">
        <w:rPr>
          <w:color w:val="000000" w:themeColor="text1"/>
          <w:sz w:val="24"/>
          <w:szCs w:val="24"/>
        </w:rPr>
        <w:t xml:space="preserve">The SILC is expected </w:t>
      </w:r>
      <w:r w:rsidR="008F197D">
        <w:rPr>
          <w:color w:val="000000" w:themeColor="text1"/>
          <w:sz w:val="24"/>
          <w:szCs w:val="24"/>
        </w:rPr>
        <w:t xml:space="preserve">to </w:t>
      </w:r>
      <w:r w:rsidR="00AA1505" w:rsidRPr="00E32434">
        <w:rPr>
          <w:color w:val="000000" w:themeColor="text1"/>
          <w:sz w:val="24"/>
          <w:szCs w:val="24"/>
        </w:rPr>
        <w:t xml:space="preserve">be independent of and autonomous from the DSE and all other State agencies.  </w:t>
      </w:r>
      <w:r w:rsidR="00A53ECD" w:rsidRPr="00E32434">
        <w:rPr>
          <w:sz w:val="24"/>
          <w:szCs w:val="24"/>
        </w:rPr>
        <w:t xml:space="preserve">In </w:t>
      </w:r>
      <w:r w:rsidR="00AA1505" w:rsidRPr="00E32434">
        <w:rPr>
          <w:sz w:val="24"/>
          <w:szCs w:val="24"/>
        </w:rPr>
        <w:t>addition, the SILC is expected</w:t>
      </w:r>
      <w:r w:rsidR="00A53ECD" w:rsidRPr="00E32434">
        <w:rPr>
          <w:sz w:val="24"/>
          <w:szCs w:val="24"/>
        </w:rPr>
        <w:t xml:space="preserve"> to coordinate activities with other entities in the </w:t>
      </w:r>
      <w:hyperlink r:id="rId7" w:tooltip="State" w:history="1">
        <w:r w:rsidR="00A53ECD" w:rsidRPr="00E32434">
          <w:rPr>
            <w:rStyle w:val="Hyperlink"/>
            <w:color w:val="auto"/>
            <w:sz w:val="24"/>
            <w:szCs w:val="24"/>
            <w:u w:val="none"/>
          </w:rPr>
          <w:t>State</w:t>
        </w:r>
      </w:hyperlink>
      <w:r w:rsidR="00A53ECD" w:rsidRPr="00E32434">
        <w:rPr>
          <w:sz w:val="24"/>
          <w:szCs w:val="24"/>
        </w:rPr>
        <w:t xml:space="preserve"> that provide services similar to or complementary to </w:t>
      </w:r>
      <w:hyperlink r:id="rId8" w:tooltip="independent living services" w:history="1">
        <w:r w:rsidR="00A53ECD" w:rsidRPr="00E32434">
          <w:rPr>
            <w:rStyle w:val="Hyperlink"/>
            <w:color w:val="auto"/>
            <w:sz w:val="24"/>
            <w:szCs w:val="24"/>
            <w:u w:val="none"/>
          </w:rPr>
          <w:t>independent living services</w:t>
        </w:r>
      </w:hyperlink>
      <w:r w:rsidR="00A53ECD" w:rsidRPr="00E32434">
        <w:rPr>
          <w:sz w:val="24"/>
          <w:szCs w:val="24"/>
        </w:rPr>
        <w:t xml:space="preserve"> </w:t>
      </w:r>
      <w:r w:rsidR="008F197D">
        <w:rPr>
          <w:sz w:val="24"/>
          <w:szCs w:val="24"/>
        </w:rPr>
        <w:t xml:space="preserve">These often </w:t>
      </w:r>
      <w:r w:rsidR="00A53ECD" w:rsidRPr="00E32434">
        <w:rPr>
          <w:sz w:val="24"/>
          <w:szCs w:val="24"/>
        </w:rPr>
        <w:t>entities facilitate the provision of or provide long-term community-based services and supports.  The SILC faces a number of barriers to the execution of these expectations</w:t>
      </w:r>
      <w:r w:rsidR="004952AE" w:rsidRPr="00E32434">
        <w:rPr>
          <w:sz w:val="24"/>
          <w:szCs w:val="24"/>
        </w:rPr>
        <w:t xml:space="preserve"> under the current organizational structure</w:t>
      </w:r>
      <w:r w:rsidR="00A53ECD" w:rsidRPr="00E32434">
        <w:rPr>
          <w:sz w:val="24"/>
          <w:szCs w:val="24"/>
        </w:rPr>
        <w:t xml:space="preserve">.  Becoming a </w:t>
      </w:r>
      <w:r w:rsidR="004952AE" w:rsidRPr="00E32434">
        <w:rPr>
          <w:sz w:val="24"/>
          <w:szCs w:val="24"/>
        </w:rPr>
        <w:t>50</w:t>
      </w:r>
      <w:r w:rsidR="00A53ECD" w:rsidRPr="00E32434">
        <w:rPr>
          <w:sz w:val="24"/>
          <w:szCs w:val="24"/>
        </w:rPr>
        <w:t>1</w:t>
      </w:r>
      <w:r w:rsidR="004952AE" w:rsidRPr="00E32434">
        <w:rPr>
          <w:sz w:val="24"/>
          <w:szCs w:val="24"/>
        </w:rPr>
        <w:t>(c)</w:t>
      </w:r>
      <w:r w:rsidR="00A53ECD" w:rsidRPr="00E32434">
        <w:rPr>
          <w:sz w:val="24"/>
          <w:szCs w:val="24"/>
        </w:rPr>
        <w:t xml:space="preserve">3 nonprofit entity will allow </w:t>
      </w:r>
      <w:r w:rsidR="004952AE" w:rsidRPr="00E32434">
        <w:rPr>
          <w:sz w:val="24"/>
          <w:szCs w:val="24"/>
        </w:rPr>
        <w:t>the SILC to more effectively address these issues.  These barriers include:</w:t>
      </w:r>
    </w:p>
    <w:p w14:paraId="3AE5967E" w14:textId="77777777" w:rsidR="004952AE" w:rsidRPr="00E32434" w:rsidRDefault="004952AE" w:rsidP="00A94162">
      <w:pPr>
        <w:pStyle w:val="Outline1"/>
        <w:numPr>
          <w:ilvl w:val="0"/>
          <w:numId w:val="1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</w:tabs>
        <w:spacing w:before="0" w:after="120"/>
        <w:rPr>
          <w:sz w:val="24"/>
          <w:szCs w:val="24"/>
        </w:rPr>
      </w:pPr>
      <w:r w:rsidRPr="00E32434">
        <w:rPr>
          <w:sz w:val="24"/>
          <w:szCs w:val="24"/>
        </w:rPr>
        <w:t>796</w:t>
      </w:r>
      <w:r w:rsidR="00CB0AFD">
        <w:rPr>
          <w:sz w:val="24"/>
          <w:szCs w:val="24"/>
        </w:rPr>
        <w:t>(</w:t>
      </w:r>
      <w:r w:rsidRPr="00E32434">
        <w:rPr>
          <w:sz w:val="24"/>
          <w:szCs w:val="24"/>
        </w:rPr>
        <w:t>d</w:t>
      </w:r>
      <w:r w:rsidR="00CB0AFD">
        <w:rPr>
          <w:sz w:val="24"/>
          <w:szCs w:val="24"/>
        </w:rPr>
        <w:t>)</w:t>
      </w:r>
      <w:r w:rsidRPr="00E32434">
        <w:rPr>
          <w:sz w:val="24"/>
          <w:szCs w:val="24"/>
        </w:rPr>
        <w:t xml:space="preserve"> </w:t>
      </w:r>
      <w:r w:rsidR="0051037F" w:rsidRPr="00E32434">
        <w:rPr>
          <w:sz w:val="24"/>
          <w:szCs w:val="24"/>
        </w:rPr>
        <w:t xml:space="preserve"> requires that </w:t>
      </w:r>
      <w:r w:rsidR="0051037F" w:rsidRPr="00E32434">
        <w:rPr>
          <w:color w:val="333333"/>
          <w:sz w:val="24"/>
          <w:szCs w:val="24"/>
        </w:rPr>
        <w:t xml:space="preserve">staff and other personnel not be assigned duties by the designated </w:t>
      </w:r>
      <w:hyperlink r:id="rId9" w:tooltip="State" w:history="1">
        <w:r w:rsidR="0051037F" w:rsidRPr="00E32434">
          <w:rPr>
            <w:rStyle w:val="Hyperlink"/>
            <w:color w:val="auto"/>
            <w:sz w:val="24"/>
            <w:szCs w:val="24"/>
            <w:u w:val="none"/>
          </w:rPr>
          <w:t>State</w:t>
        </w:r>
      </w:hyperlink>
      <w:r w:rsidR="0051037F" w:rsidRPr="00E32434">
        <w:rPr>
          <w:color w:val="333333"/>
          <w:sz w:val="24"/>
          <w:szCs w:val="24"/>
        </w:rPr>
        <w:t xml:space="preserve"> entity or any other agency or office of the </w:t>
      </w:r>
      <w:hyperlink r:id="rId10" w:tooltip="State" w:history="1">
        <w:r w:rsidR="0051037F" w:rsidRPr="00E32434">
          <w:rPr>
            <w:rStyle w:val="Hyperlink"/>
            <w:color w:val="auto"/>
            <w:sz w:val="24"/>
            <w:szCs w:val="24"/>
            <w:u w:val="none"/>
          </w:rPr>
          <w:t>State</w:t>
        </w:r>
      </w:hyperlink>
      <w:r w:rsidR="0051037F" w:rsidRPr="00E32434">
        <w:rPr>
          <w:color w:val="333333"/>
          <w:sz w:val="24"/>
          <w:szCs w:val="24"/>
        </w:rPr>
        <w:t xml:space="preserve">, that would create a conflict of interest.  As both the fiscal sponsor for the SILC and administrator </w:t>
      </w:r>
      <w:r w:rsidR="00CB0AFD" w:rsidRPr="00E32434">
        <w:rPr>
          <w:color w:val="333333"/>
          <w:sz w:val="24"/>
          <w:szCs w:val="24"/>
        </w:rPr>
        <w:t>of contracts</w:t>
      </w:r>
      <w:r w:rsidR="0051037F" w:rsidRPr="00E32434">
        <w:rPr>
          <w:color w:val="333333"/>
          <w:sz w:val="24"/>
          <w:szCs w:val="24"/>
        </w:rPr>
        <w:t xml:space="preserve"> for services provided by the Centers for Independent Living (CILs), the DSE is at risk of inadvertently</w:t>
      </w:r>
      <w:r w:rsidR="008F197D">
        <w:rPr>
          <w:color w:val="333333"/>
          <w:sz w:val="24"/>
          <w:szCs w:val="24"/>
        </w:rPr>
        <w:t xml:space="preserve"> exhibiting a</w:t>
      </w:r>
      <w:r w:rsidR="0051037F" w:rsidRPr="00E32434">
        <w:rPr>
          <w:color w:val="333333"/>
          <w:sz w:val="24"/>
          <w:szCs w:val="24"/>
        </w:rPr>
        <w:t xml:space="preserve"> conflict of interest.  The SILC can ensure that the DSE is does not inadvertently act in a manner that could be perceived to be a conflict of interest</w:t>
      </w:r>
      <w:r w:rsidR="00654EAB" w:rsidRPr="00E32434">
        <w:rPr>
          <w:color w:val="333333"/>
          <w:sz w:val="24"/>
          <w:szCs w:val="24"/>
        </w:rPr>
        <w:t xml:space="preserve"> by becoming an organization that is clearly separate from the State.</w:t>
      </w:r>
    </w:p>
    <w:p w14:paraId="14CB393E" w14:textId="77777777" w:rsidR="00042270" w:rsidRPr="00E32434" w:rsidRDefault="00042270" w:rsidP="00A94162">
      <w:pPr>
        <w:pStyle w:val="ListParagraph"/>
        <w:numPr>
          <w:ilvl w:val="0"/>
          <w:numId w:val="10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32434">
        <w:rPr>
          <w:rFonts w:ascii="Times New Roman" w:hAnsi="Times New Roman" w:cs="Times New Roman"/>
          <w:sz w:val="24"/>
          <w:szCs w:val="24"/>
        </w:rPr>
        <w:t xml:space="preserve">Funding sources for the SILC </w:t>
      </w:r>
      <w:r w:rsidR="00092E7A" w:rsidRPr="00E32434">
        <w:rPr>
          <w:rFonts w:ascii="Times New Roman" w:hAnsi="Times New Roman" w:cs="Times New Roman"/>
          <w:sz w:val="24"/>
          <w:szCs w:val="24"/>
        </w:rPr>
        <w:t>consist</w:t>
      </w:r>
      <w:r w:rsidRPr="00E32434">
        <w:rPr>
          <w:rFonts w:ascii="Times New Roman" w:hAnsi="Times New Roman" w:cs="Times New Roman"/>
          <w:sz w:val="24"/>
          <w:szCs w:val="24"/>
        </w:rPr>
        <w:t xml:space="preserve"> </w:t>
      </w:r>
      <w:r w:rsidR="00654EAB" w:rsidRPr="00E32434">
        <w:rPr>
          <w:rFonts w:ascii="Times New Roman" w:hAnsi="Times New Roman" w:cs="Times New Roman"/>
          <w:sz w:val="24"/>
          <w:szCs w:val="24"/>
        </w:rPr>
        <w:t xml:space="preserve">of </w:t>
      </w:r>
      <w:r w:rsidRPr="00E32434">
        <w:rPr>
          <w:rFonts w:ascii="Times New Roman" w:hAnsi="Times New Roman" w:cs="Times New Roman"/>
          <w:sz w:val="24"/>
          <w:szCs w:val="24"/>
        </w:rPr>
        <w:t xml:space="preserve">a limited amount of funding from </w:t>
      </w:r>
      <w:r w:rsidR="00092E7A" w:rsidRPr="00E32434">
        <w:rPr>
          <w:rFonts w:ascii="Times New Roman" w:hAnsi="Times New Roman" w:cs="Times New Roman"/>
          <w:sz w:val="24"/>
          <w:szCs w:val="24"/>
        </w:rPr>
        <w:t xml:space="preserve">the DSE and a larger amount from the federal government.  </w:t>
      </w:r>
      <w:r w:rsidR="00CB0AFD">
        <w:rPr>
          <w:rFonts w:ascii="Times New Roman" w:hAnsi="Times New Roman" w:cs="Times New Roman"/>
          <w:sz w:val="24"/>
          <w:szCs w:val="24"/>
        </w:rPr>
        <w:t xml:space="preserve">The federal budgeting process has interrupted funding for the SILC resulting in a disruption of SILC activities.  </w:t>
      </w:r>
      <w:r w:rsidR="0042091C" w:rsidRPr="00E32434">
        <w:rPr>
          <w:rFonts w:ascii="Times New Roman" w:hAnsi="Times New Roman" w:cs="Times New Roman"/>
          <w:sz w:val="24"/>
          <w:szCs w:val="24"/>
        </w:rPr>
        <w:t>The SILC has a limited ability to implement</w:t>
      </w:r>
      <w:r w:rsidR="00654EAB" w:rsidRPr="00E32434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42091C" w:rsidRPr="00E32434">
        <w:rPr>
          <w:rFonts w:ascii="Times New Roman" w:hAnsi="Times New Roman" w:cs="Times New Roman"/>
          <w:sz w:val="24"/>
          <w:szCs w:val="24"/>
        </w:rPr>
        <w:t xml:space="preserve"> resource development activities because it is linked to State government</w:t>
      </w:r>
      <w:r w:rsidR="00CB0AFD">
        <w:rPr>
          <w:rFonts w:ascii="Times New Roman" w:hAnsi="Times New Roman" w:cs="Times New Roman"/>
          <w:sz w:val="24"/>
          <w:szCs w:val="24"/>
        </w:rPr>
        <w:t xml:space="preserve"> to stabilize its funding</w:t>
      </w:r>
      <w:r w:rsidR="0042091C" w:rsidRPr="00E32434">
        <w:rPr>
          <w:rFonts w:ascii="Times New Roman" w:hAnsi="Times New Roman" w:cs="Times New Roman"/>
          <w:sz w:val="24"/>
          <w:szCs w:val="24"/>
        </w:rPr>
        <w:t>.  There is a perception in the community that donations to State government are both no</w:t>
      </w:r>
      <w:r w:rsidR="00654EAB" w:rsidRPr="00E32434">
        <w:rPr>
          <w:rFonts w:ascii="Times New Roman" w:hAnsi="Times New Roman" w:cs="Times New Roman"/>
          <w:sz w:val="24"/>
          <w:szCs w:val="24"/>
        </w:rPr>
        <w:t>t needed and not tax deductible</w:t>
      </w:r>
      <w:r w:rsidR="008F197D">
        <w:rPr>
          <w:rFonts w:ascii="Times New Roman" w:hAnsi="Times New Roman" w:cs="Times New Roman"/>
          <w:sz w:val="24"/>
          <w:szCs w:val="24"/>
        </w:rPr>
        <w:t>,</w:t>
      </w:r>
      <w:r w:rsidR="00654EAB" w:rsidRPr="00E32434">
        <w:rPr>
          <w:rFonts w:ascii="Times New Roman" w:hAnsi="Times New Roman" w:cs="Times New Roman"/>
          <w:sz w:val="24"/>
          <w:szCs w:val="24"/>
        </w:rPr>
        <w:t xml:space="preserve"> despite efforts on the part of the State and the SILC to provide education.</w:t>
      </w:r>
      <w:r w:rsidR="0042091C" w:rsidRPr="00E3243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5FAE5A" w14:textId="77777777" w:rsidR="005C4334" w:rsidRPr="00E32434" w:rsidRDefault="0042091C" w:rsidP="00A94162">
      <w:pPr>
        <w:pStyle w:val="ListParagraph"/>
        <w:numPr>
          <w:ilvl w:val="0"/>
          <w:numId w:val="10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32434">
        <w:rPr>
          <w:rFonts w:ascii="Times New Roman" w:hAnsi="Times New Roman" w:cs="Times New Roman"/>
          <w:sz w:val="24"/>
          <w:szCs w:val="24"/>
        </w:rPr>
        <w:t xml:space="preserve">The lack of the ability to grow the SILC’s resource development activities limits its ability to complete its goals.  </w:t>
      </w:r>
      <w:r w:rsidR="005C4334" w:rsidRPr="00E32434">
        <w:rPr>
          <w:rFonts w:ascii="Times New Roman" w:hAnsi="Times New Roman" w:cs="Times New Roman"/>
          <w:sz w:val="24"/>
          <w:szCs w:val="24"/>
        </w:rPr>
        <w:t>Because the DSE acts as the SILC’s fiscal sponsor</w:t>
      </w:r>
      <w:r w:rsidR="00CA5EA7">
        <w:rPr>
          <w:rFonts w:ascii="Times New Roman" w:hAnsi="Times New Roman" w:cs="Times New Roman"/>
          <w:sz w:val="24"/>
          <w:szCs w:val="24"/>
        </w:rPr>
        <w:t>,</w:t>
      </w:r>
      <w:r w:rsidR="005C4334" w:rsidRPr="00E32434">
        <w:rPr>
          <w:rFonts w:ascii="Times New Roman" w:hAnsi="Times New Roman" w:cs="Times New Roman"/>
          <w:sz w:val="24"/>
          <w:szCs w:val="24"/>
        </w:rPr>
        <w:t xml:space="preserve"> all expenditures must be vetted through the State accounting and procurement systems.  This complicates the SILCs ability to contract with other entities and to hire staff.  </w:t>
      </w:r>
      <w:r w:rsidR="00654EAB" w:rsidRPr="00E32434">
        <w:rPr>
          <w:rFonts w:ascii="Times New Roman" w:hAnsi="Times New Roman" w:cs="Times New Roman"/>
          <w:sz w:val="24"/>
          <w:szCs w:val="24"/>
        </w:rPr>
        <w:t xml:space="preserve">While the SILC will need to continue to follow federal and state guidelines for procurement and accounting, it will be able to directly hire staff and streamline decision making on </w:t>
      </w:r>
      <w:r w:rsidR="00E32434" w:rsidRPr="00E32434">
        <w:rPr>
          <w:rFonts w:ascii="Times New Roman" w:hAnsi="Times New Roman" w:cs="Times New Roman"/>
          <w:sz w:val="24"/>
          <w:szCs w:val="24"/>
        </w:rPr>
        <w:t xml:space="preserve">expenditures.  </w:t>
      </w:r>
      <w:r w:rsidR="00CA5EA7">
        <w:rPr>
          <w:rFonts w:ascii="Times New Roman" w:hAnsi="Times New Roman" w:cs="Times New Roman"/>
          <w:sz w:val="24"/>
          <w:szCs w:val="24"/>
        </w:rPr>
        <w:t xml:space="preserve">This </w:t>
      </w:r>
      <w:r w:rsidRPr="00E32434">
        <w:rPr>
          <w:rFonts w:ascii="Times New Roman" w:hAnsi="Times New Roman" w:cs="Times New Roman"/>
          <w:sz w:val="24"/>
          <w:szCs w:val="24"/>
        </w:rPr>
        <w:t>will i</w:t>
      </w:r>
      <w:r w:rsidR="0051037F" w:rsidRPr="00E32434">
        <w:rPr>
          <w:rFonts w:ascii="Times New Roman" w:hAnsi="Times New Roman" w:cs="Times New Roman"/>
          <w:sz w:val="24"/>
          <w:szCs w:val="24"/>
        </w:rPr>
        <w:t xml:space="preserve">mprove </w:t>
      </w:r>
      <w:r w:rsidRPr="00E32434">
        <w:rPr>
          <w:rFonts w:ascii="Times New Roman" w:hAnsi="Times New Roman" w:cs="Times New Roman"/>
          <w:sz w:val="24"/>
          <w:szCs w:val="24"/>
        </w:rPr>
        <w:t>the SILC’s</w:t>
      </w:r>
      <w:r w:rsidR="0051037F" w:rsidRPr="00E32434">
        <w:rPr>
          <w:rFonts w:ascii="Times New Roman" w:hAnsi="Times New Roman" w:cs="Times New Roman"/>
          <w:sz w:val="24"/>
          <w:szCs w:val="24"/>
        </w:rPr>
        <w:t xml:space="preserve"> ability to develop, monitor and evaluate the State Plan for Independent Living (SPIL)</w:t>
      </w:r>
      <w:r w:rsidR="00CA5EA7">
        <w:rPr>
          <w:rFonts w:ascii="Times New Roman" w:hAnsi="Times New Roman" w:cs="Times New Roman"/>
          <w:sz w:val="24"/>
          <w:szCs w:val="24"/>
        </w:rPr>
        <w:t>.  The result will be to increase</w:t>
      </w:r>
      <w:r w:rsidR="0051037F" w:rsidRPr="00E32434">
        <w:rPr>
          <w:rFonts w:ascii="Times New Roman" w:hAnsi="Times New Roman" w:cs="Times New Roman"/>
          <w:sz w:val="24"/>
          <w:szCs w:val="24"/>
        </w:rPr>
        <w:t xml:space="preserve"> the capacity to research and assist </w:t>
      </w:r>
      <w:r w:rsidR="00092E7A" w:rsidRPr="00E32434">
        <w:rPr>
          <w:rFonts w:ascii="Times New Roman" w:hAnsi="Times New Roman" w:cs="Times New Roman"/>
          <w:sz w:val="24"/>
          <w:szCs w:val="24"/>
        </w:rPr>
        <w:t>community based and state organ</w:t>
      </w:r>
      <w:r w:rsidR="0051037F" w:rsidRPr="00E32434">
        <w:rPr>
          <w:rFonts w:ascii="Times New Roman" w:hAnsi="Times New Roman" w:cs="Times New Roman"/>
          <w:sz w:val="24"/>
          <w:szCs w:val="24"/>
        </w:rPr>
        <w:t>izations in the implementation of evidence based practices throughout the state.</w:t>
      </w:r>
    </w:p>
    <w:p w14:paraId="18B0A0B1" w14:textId="77777777" w:rsidR="00AB085A" w:rsidRPr="00E32434" w:rsidRDefault="00AA1505" w:rsidP="00A94162">
      <w:pPr>
        <w:pStyle w:val="ListParagraph"/>
        <w:numPr>
          <w:ilvl w:val="0"/>
          <w:numId w:val="10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32434">
        <w:rPr>
          <w:rFonts w:ascii="Times New Roman" w:hAnsi="Times New Roman" w:cs="Times New Roman"/>
          <w:sz w:val="24"/>
          <w:szCs w:val="24"/>
        </w:rPr>
        <w:t>There is a perception in the community that the SILC is an arm of State government.  Building</w:t>
      </w:r>
      <w:r w:rsidR="0051037F" w:rsidRPr="00E32434">
        <w:rPr>
          <w:rFonts w:ascii="Times New Roman" w:hAnsi="Times New Roman" w:cs="Times New Roman"/>
          <w:sz w:val="24"/>
          <w:szCs w:val="24"/>
        </w:rPr>
        <w:t xml:space="preserve"> autonomy for the organization that would allow the SILC </w:t>
      </w:r>
      <w:r w:rsidR="00CA5EA7">
        <w:rPr>
          <w:rFonts w:ascii="Times New Roman" w:hAnsi="Times New Roman" w:cs="Times New Roman"/>
          <w:sz w:val="24"/>
          <w:szCs w:val="24"/>
        </w:rPr>
        <w:t xml:space="preserve">to engage in public discussion and </w:t>
      </w:r>
      <w:r w:rsidR="0051037F" w:rsidRPr="00E32434">
        <w:rPr>
          <w:rFonts w:ascii="Times New Roman" w:hAnsi="Times New Roman" w:cs="Times New Roman"/>
          <w:sz w:val="24"/>
          <w:szCs w:val="24"/>
        </w:rPr>
        <w:t>build an educational program to provide the community with information about opportunities to expand independent living opportunities in Colorado.</w:t>
      </w:r>
      <w:r w:rsidR="00CB0A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1172A7" w14:textId="77777777" w:rsidR="004E15EA" w:rsidRPr="00CB0AFD" w:rsidRDefault="00E32434" w:rsidP="00A941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2434">
        <w:rPr>
          <w:rFonts w:ascii="Times New Roman" w:hAnsi="Times New Roman" w:cs="Times New Roman"/>
          <w:sz w:val="24"/>
          <w:szCs w:val="24"/>
        </w:rPr>
        <w:t>Becoming a 501(c)3 nonprofit organization will allow the SILC to begin planning and developing resources to more effectively monitor</w:t>
      </w:r>
      <w:r w:rsidR="00CA5EA7">
        <w:rPr>
          <w:rFonts w:ascii="Times New Roman" w:hAnsi="Times New Roman" w:cs="Times New Roman"/>
          <w:sz w:val="24"/>
          <w:szCs w:val="24"/>
        </w:rPr>
        <w:t xml:space="preserve"> implementation of the SPIL.  The SILC will also be able to assist with the development of </w:t>
      </w:r>
      <w:r w:rsidRPr="00E32434">
        <w:rPr>
          <w:rFonts w:ascii="Times New Roman" w:hAnsi="Times New Roman" w:cs="Times New Roman"/>
          <w:sz w:val="24"/>
          <w:szCs w:val="24"/>
        </w:rPr>
        <w:t>services that will support the independent living movement such as training, education, conferences, networking opportunities, coordination with other organizations.</w:t>
      </w:r>
    </w:p>
    <w:sectPr w:rsidR="004E15EA" w:rsidRPr="00CB0AFD" w:rsidSect="005E0A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49EC" w14:textId="77777777" w:rsidR="00C9251B" w:rsidRDefault="00C9251B" w:rsidP="00E473EB">
      <w:pPr>
        <w:spacing w:after="0" w:line="240" w:lineRule="auto"/>
      </w:pPr>
      <w:r>
        <w:separator/>
      </w:r>
    </w:p>
  </w:endnote>
  <w:endnote w:type="continuationSeparator" w:id="0">
    <w:p w14:paraId="01B091F0" w14:textId="77777777" w:rsidR="00C9251B" w:rsidRDefault="00C9251B" w:rsidP="00E4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888820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31DCEA" w14:textId="77777777" w:rsidR="008F197D" w:rsidRDefault="008F197D" w:rsidP="008F19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F4BFEB" w14:textId="77777777" w:rsidR="008F197D" w:rsidRDefault="008F197D" w:rsidP="008F19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868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6BDFB5" w14:textId="77777777" w:rsidR="004910E7" w:rsidRDefault="004910E7">
            <w:pPr>
              <w:pStyle w:val="Footer"/>
              <w:jc w:val="right"/>
            </w:pPr>
            <w:r>
              <w:t>December 3, 2018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7217CA" w14:textId="77777777" w:rsidR="008F197D" w:rsidRDefault="008F197D" w:rsidP="008F197D">
    <w:pPr>
      <w:pStyle w:val="Footer"/>
      <w:tabs>
        <w:tab w:val="clear" w:pos="4680"/>
        <w:tab w:val="clear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11BC" w14:textId="77777777" w:rsidR="008F197D" w:rsidRDefault="00C9251B">
    <w:pPr>
      <w:pStyle w:val="Footer"/>
    </w:pPr>
    <w:r>
      <w:rPr>
        <w:noProof/>
      </w:rPr>
      <w:fldChar w:fldCharType="begin"/>
    </w:r>
    <w:r>
      <w:rPr>
        <w:noProof/>
      </w:rPr>
      <w:instrText xml:space="preserve"> DATE \@ "MMMM d, yyyy" </w:instrText>
    </w:r>
    <w:r>
      <w:rPr>
        <w:noProof/>
      </w:rPr>
      <w:fldChar w:fldCharType="separate"/>
    </w:r>
    <w:r w:rsidR="00C34576">
      <w:rPr>
        <w:noProof/>
      </w:rPr>
      <w:t>April 28, 2022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48D1" w14:textId="77777777" w:rsidR="00C9251B" w:rsidRDefault="00C9251B" w:rsidP="00E473EB">
      <w:pPr>
        <w:spacing w:after="0" w:line="240" w:lineRule="auto"/>
      </w:pPr>
      <w:r>
        <w:separator/>
      </w:r>
    </w:p>
  </w:footnote>
  <w:footnote w:type="continuationSeparator" w:id="0">
    <w:p w14:paraId="4197D99D" w14:textId="77777777" w:rsidR="00C9251B" w:rsidRDefault="00C9251B" w:rsidP="00E4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E03A" w14:textId="77777777" w:rsidR="004910E7" w:rsidRDefault="00491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23D2" w14:textId="77777777" w:rsidR="008F197D" w:rsidRDefault="008F197D" w:rsidP="00A94162">
    <w:pPr>
      <w:pStyle w:val="Header"/>
      <w:tabs>
        <w:tab w:val="clear" w:pos="4680"/>
        <w:tab w:val="clear" w:pos="9360"/>
        <w:tab w:val="left" w:pos="6100"/>
      </w:tabs>
      <w:jc w:val="center"/>
    </w:pPr>
    <w:r>
      <w:t>Statewide Independent Living Council</w:t>
    </w:r>
  </w:p>
  <w:p w14:paraId="35CC0E86" w14:textId="77777777" w:rsidR="008F197D" w:rsidRDefault="008F197D" w:rsidP="00A94162">
    <w:pPr>
      <w:pStyle w:val="Header"/>
      <w:tabs>
        <w:tab w:val="clear" w:pos="4680"/>
        <w:tab w:val="clear" w:pos="9360"/>
        <w:tab w:val="left" w:pos="6100"/>
      </w:tabs>
      <w:jc w:val="center"/>
    </w:pPr>
    <w:r>
      <w:t>501(c)3 Nonprofit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3E87" w14:textId="77777777" w:rsidR="004910E7" w:rsidRDefault="00491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C10"/>
    <w:multiLevelType w:val="multilevel"/>
    <w:tmpl w:val="09A0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D6E1B"/>
    <w:multiLevelType w:val="multilevel"/>
    <w:tmpl w:val="A89E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51F8E"/>
    <w:multiLevelType w:val="hybridMultilevel"/>
    <w:tmpl w:val="975E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6A45"/>
    <w:multiLevelType w:val="multilevel"/>
    <w:tmpl w:val="39C0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372A7"/>
    <w:multiLevelType w:val="multilevel"/>
    <w:tmpl w:val="A872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C5616"/>
    <w:multiLevelType w:val="multilevel"/>
    <w:tmpl w:val="ABE6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36AB9"/>
    <w:multiLevelType w:val="hybridMultilevel"/>
    <w:tmpl w:val="F83E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73D8C"/>
    <w:multiLevelType w:val="hybridMultilevel"/>
    <w:tmpl w:val="D758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86A"/>
    <w:multiLevelType w:val="hybridMultilevel"/>
    <w:tmpl w:val="998E8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6729D"/>
    <w:multiLevelType w:val="hybridMultilevel"/>
    <w:tmpl w:val="93628DF8"/>
    <w:lvl w:ilvl="0" w:tplc="0409000F">
      <w:start w:val="1"/>
      <w:numFmt w:val="decimal"/>
      <w:lvlText w:val="%1.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num w:numId="1" w16cid:durableId="817377925">
    <w:abstractNumId w:val="6"/>
  </w:num>
  <w:num w:numId="2" w16cid:durableId="934289144">
    <w:abstractNumId w:val="5"/>
  </w:num>
  <w:num w:numId="3" w16cid:durableId="1123188597">
    <w:abstractNumId w:val="4"/>
  </w:num>
  <w:num w:numId="4" w16cid:durableId="1649674150">
    <w:abstractNumId w:val="1"/>
  </w:num>
  <w:num w:numId="5" w16cid:durableId="1411660731">
    <w:abstractNumId w:val="3"/>
  </w:num>
  <w:num w:numId="6" w16cid:durableId="1816608291">
    <w:abstractNumId w:val="0"/>
  </w:num>
  <w:num w:numId="7" w16cid:durableId="1517427545">
    <w:abstractNumId w:val="9"/>
  </w:num>
  <w:num w:numId="8" w16cid:durableId="10182426">
    <w:abstractNumId w:val="7"/>
  </w:num>
  <w:num w:numId="9" w16cid:durableId="166137533">
    <w:abstractNumId w:val="8"/>
  </w:num>
  <w:num w:numId="10" w16cid:durableId="1430542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54"/>
    <w:rsid w:val="00042270"/>
    <w:rsid w:val="00092E7A"/>
    <w:rsid w:val="000E70AF"/>
    <w:rsid w:val="00167589"/>
    <w:rsid w:val="00192968"/>
    <w:rsid w:val="001A2AF6"/>
    <w:rsid w:val="00322CCE"/>
    <w:rsid w:val="0037257F"/>
    <w:rsid w:val="0042091C"/>
    <w:rsid w:val="004910E7"/>
    <w:rsid w:val="004952AE"/>
    <w:rsid w:val="004E15EA"/>
    <w:rsid w:val="0051037F"/>
    <w:rsid w:val="00511365"/>
    <w:rsid w:val="005C4334"/>
    <w:rsid w:val="005E0A84"/>
    <w:rsid w:val="005E4F6E"/>
    <w:rsid w:val="005E7D9B"/>
    <w:rsid w:val="00654EAB"/>
    <w:rsid w:val="006A37C7"/>
    <w:rsid w:val="006B7954"/>
    <w:rsid w:val="006E53FF"/>
    <w:rsid w:val="008F197D"/>
    <w:rsid w:val="00904F81"/>
    <w:rsid w:val="00A53ECD"/>
    <w:rsid w:val="00A94162"/>
    <w:rsid w:val="00AA1505"/>
    <w:rsid w:val="00AB085A"/>
    <w:rsid w:val="00B10D18"/>
    <w:rsid w:val="00C21744"/>
    <w:rsid w:val="00C34576"/>
    <w:rsid w:val="00C9251B"/>
    <w:rsid w:val="00CA5EA7"/>
    <w:rsid w:val="00CB0AFD"/>
    <w:rsid w:val="00CD4AFC"/>
    <w:rsid w:val="00D42744"/>
    <w:rsid w:val="00D66A5F"/>
    <w:rsid w:val="00D678D2"/>
    <w:rsid w:val="00DD523A"/>
    <w:rsid w:val="00E32434"/>
    <w:rsid w:val="00E473EB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2285"/>
  <w15:docId w15:val="{5453A28A-EA8F-4EE9-8100-3F673A3C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A84"/>
  </w:style>
  <w:style w:type="paragraph" w:styleId="Heading2">
    <w:name w:val="heading 2"/>
    <w:basedOn w:val="Normal"/>
    <w:link w:val="Heading2Char"/>
    <w:uiPriority w:val="9"/>
    <w:qFormat/>
    <w:rsid w:val="00D42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274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427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D42744"/>
    <w:rPr>
      <w:i/>
      <w:iCs/>
    </w:rPr>
  </w:style>
  <w:style w:type="character" w:styleId="Hyperlink">
    <w:name w:val="Hyperlink"/>
    <w:basedOn w:val="DefaultParagraphFont"/>
    <w:uiPriority w:val="99"/>
    <w:unhideWhenUsed/>
    <w:rsid w:val="00D42744"/>
    <w:rPr>
      <w:color w:val="0000FF"/>
      <w:u w:val="single"/>
    </w:rPr>
  </w:style>
  <w:style w:type="paragraph" w:customStyle="1" w:styleId="Outline1">
    <w:name w:val="Outline 1"/>
    <w:rsid w:val="004E15EA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1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5E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EA"/>
    <w:rPr>
      <w:rFonts w:ascii="Tahoma" w:hAnsi="Tahoma" w:cs="Tahoma"/>
      <w:sz w:val="16"/>
      <w:szCs w:val="16"/>
    </w:rPr>
  </w:style>
  <w:style w:type="paragraph" w:customStyle="1" w:styleId="Listbullet1">
    <w:name w:val="List bullet 1"/>
    <w:basedOn w:val="ListBullet2"/>
    <w:rsid w:val="004E15EA"/>
    <w:pPr>
      <w:spacing w:before="60" w:after="0" w:line="240" w:lineRule="auto"/>
      <w:contextualSpacing w:val="0"/>
    </w:pPr>
    <w:rPr>
      <w:rFonts w:ascii="Times New Roman" w:eastAsia="Times New Roman" w:hAnsi="Times New Roman" w:cs="Times New Roman"/>
      <w:szCs w:val="20"/>
    </w:rPr>
  </w:style>
  <w:style w:type="paragraph" w:styleId="ListBullet2">
    <w:name w:val="List Bullet 2"/>
    <w:basedOn w:val="Normal"/>
    <w:uiPriority w:val="99"/>
    <w:semiHidden/>
    <w:unhideWhenUsed/>
    <w:rsid w:val="004E15EA"/>
    <w:pPr>
      <w:ind w:left="720" w:hanging="360"/>
      <w:contextualSpacing/>
    </w:pPr>
  </w:style>
  <w:style w:type="character" w:styleId="PageNumber">
    <w:name w:val="page number"/>
    <w:basedOn w:val="DefaultParagraphFont"/>
    <w:uiPriority w:val="99"/>
    <w:semiHidden/>
    <w:rsid w:val="004E15EA"/>
  </w:style>
  <w:style w:type="paragraph" w:styleId="Footer">
    <w:name w:val="footer"/>
    <w:basedOn w:val="Normal"/>
    <w:link w:val="FooterChar"/>
    <w:uiPriority w:val="99"/>
    <w:unhideWhenUsed/>
    <w:rsid w:val="004E15E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15EA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uscode.php?width=840&amp;height=800&amp;iframe=true&amp;def_id=29-USC-402744497-1026023926&amp;term_occur=18&amp;term_src=title:29:chapter:16:subchapter:VII:part:A:subpart:1:section:796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w.cornell.edu/definitions/uscode.php?width=840&amp;height=800&amp;iframe=true&amp;def_id=29-USC-80204913-1026023984&amp;term_occur=411&amp;term_src=title:29:chapter:16:subchapter:VII:part:A:subpart:1:section:796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aw.cornell.edu/definitions/uscode.php?width=840&amp;height=800&amp;iframe=true&amp;def_id=29-USC-80204913-1026023984&amp;term_occur=416&amp;term_src=title:29:chapter:16:subchapter:VII:part:A:subpart:1:section:79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.cornell.edu/definitions/uscode.php?width=840&amp;height=800&amp;iframe=true&amp;def_id=29-USC-80204913-1026023984&amp;term_occur=415&amp;term_src=title:29:chapter:16:subchapter:VII:part:A:subpart:1:section:796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roe</dc:creator>
  <cp:lastModifiedBy>Coordinator CO SILC</cp:lastModifiedBy>
  <cp:revision>2</cp:revision>
  <dcterms:created xsi:type="dcterms:W3CDTF">2022-04-28T16:34:00Z</dcterms:created>
  <dcterms:modified xsi:type="dcterms:W3CDTF">2022-04-28T16:34:00Z</dcterms:modified>
</cp:coreProperties>
</file>