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41" w:rsidRPr="00BC2341" w:rsidRDefault="00BC2341" w:rsidP="00BC2341">
      <w:pPr>
        <w:rPr>
          <w:rFonts w:ascii="Arial" w:eastAsia="Times New Roman" w:hAnsi="Arial" w:cs="Arial"/>
          <w:b/>
          <w:sz w:val="48"/>
          <w:szCs w:val="48"/>
        </w:rPr>
      </w:pPr>
      <w:r w:rsidRPr="00BC2341">
        <w:rPr>
          <w:rFonts w:ascii="Arial" w:eastAsia="Times New Roman" w:hAnsi="Arial" w:cs="Arial"/>
          <w:b/>
          <w:sz w:val="48"/>
          <w:szCs w:val="48"/>
        </w:rPr>
        <w:t>Glossary of Terms and Acronyms</w:t>
      </w:r>
    </w:p>
    <w:p w:rsidR="00BC2341" w:rsidRPr="00BC2341" w:rsidRDefault="00BC2341" w:rsidP="00BC2341">
      <w:pPr>
        <w:rPr>
          <w:rFonts w:ascii="Arial" w:eastAsia="Times New Roman" w:hAnsi="Arial" w:cs="Times New Roman"/>
          <w:sz w:val="28"/>
          <w:szCs w:val="24"/>
        </w:rPr>
      </w:pPr>
    </w:p>
    <w:p w:rsidR="00BC2341" w:rsidRPr="00BC2341" w:rsidRDefault="00BC2341" w:rsidP="00BC2341">
      <w:pPr>
        <w:rPr>
          <w:rFonts w:ascii="Arial" w:eastAsia="Times New Roman" w:hAnsi="Arial" w:cs="Times New Roman"/>
          <w:sz w:val="28"/>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560"/>
      </w:tblGrid>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AAA</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Area Agency on Aging</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AAPD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American Association of People with Disabilities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ACCIL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Association of Colorado Centers for Independent Living</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Act</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Rehabilitation Act of 1973, as amended</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ADA</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Americans with Disabilities Act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ADAAG</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Americans with Disabilities Act Accessibility Guidelines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ADAPT</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National grassroots disability rights organization founded in Denver. Practices non-violent civil disobedience.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APRIL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Association of Programs for Rural Independent Living</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APS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Adult Protective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ASL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American Sign Language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AT</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Assistive technology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AT Partners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Colorado state agency for implementation of the Tech Act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BIAC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Brain Injury Association of Colorado</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CANPO</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Colorado Association of Non-Profit Organizations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CAP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Client Assistance Program. Handles disputes between consumers and VR or IL agencies.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CCB</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Community Center Boards (services for the DD population)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CCDC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Colorado Cross Disability Coalition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CDAS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Consumer Directed Attendant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CDBG</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Community Development Block Grant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CIL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 Center for Independent Living meeting the definition in Section 702 of the Act, the standards in Section 725 of the Act, and included in the state’s network of centers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CILCS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Colorado Independent Living Core Services </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CIL Program</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The Centers for Independent Living Program funded under Part C, Chapter 1 of title VII of the Act. </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CMS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Centers for Medicare and Medicaid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Community-based living</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These living arrangements include apartments, living in privately-owned housing, self-directed assisted living, or self-directed living with family or friends.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Consumer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Any individual with a significant disability who is eligible for IL services under 34 CFR 364.40(a) and is currently receiving or has been provided with any IL service(s) under the program, other than information and referral.</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lastRenderedPageBreak/>
              <w:t>Core service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IL services defined in Section 7(17) of the Act means: information and referral services; IL skills training; peer counseling (including cross-disability peer counseling); and, individual and systems advocacy.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Cerebral palsy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CSR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 Consumer Service Record maintained for an eligible consumer receiving IL services and meeting the requirements of 34 CFR 364.53.  In cases where IL services are provided to the parent or guardian of a consumer, the CSR is established for the consumer and the services provided are reflected in that CSR.</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CTAT</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Creative Training Accelerating Talent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CTS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Community Transition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DAV</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Disabled American Veterans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DBTAC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Disability Business and Technical Assistance Center</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DDD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Division of Development Disabilities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DI</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De-institutionalization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DME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Durable medical equipment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DOE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Department of Education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DOJ</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Department of justice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DOT</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Department of Transportation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DPN</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Disability Program Navigator</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DRCOG</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Denver Regional Council of Governments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DSU</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designated state unit, or units, identified under section 101(a)(2)(B) of the Act, authorized to jointly develop and sign, with the Statewide Independent Living Council (SILC), the State Plan for Independent Living (SPIL) under section 704 of the Act.  The term includes a state agency solely designated under state law to provide IL services to individuals who are blind.  In such states, the state agency for the blind may administer the provisions in the state plan related to services for individuals who are blind.  In a 723 state, the DSU receiving, accounting for, and disbursing the funds for the CIL program is always the general agency.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DVR</w:t>
            </w:r>
          </w:p>
        </w:tc>
        <w:tc>
          <w:tcPr>
            <w:tcW w:w="7560" w:type="dxa"/>
            <w:shd w:val="clear" w:color="auto" w:fill="auto"/>
          </w:tcPr>
          <w:p w:rsidR="00BC2341" w:rsidRPr="00BC2341" w:rsidRDefault="00BC2341" w:rsidP="00BC2341">
            <w:pPr>
              <w:rPr>
                <w:rFonts w:ascii="Arial" w:eastAsia="Times New Roman" w:hAnsi="Arial" w:cs="Arial"/>
                <w:sz w:val="28"/>
                <w:szCs w:val="28"/>
              </w:rPr>
            </w:pPr>
            <w:r w:rsidRPr="00BC2341">
              <w:rPr>
                <w:rFonts w:ascii="Arial" w:eastAsia="Times New Roman" w:hAnsi="Arial" w:cs="Arial"/>
                <w:sz w:val="28"/>
                <w:szCs w:val="28"/>
              </w:rPr>
              <w:t xml:space="preserve">Division of vocational Rehabilitation </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Earmarked Funds</w:t>
            </w:r>
          </w:p>
        </w:tc>
        <w:tc>
          <w:tcPr>
            <w:tcW w:w="7560" w:type="dxa"/>
            <w:shd w:val="clear" w:color="auto" w:fill="auto"/>
          </w:tcPr>
          <w:p w:rsidR="00BC2341" w:rsidRPr="00BC2341" w:rsidRDefault="00BC2341" w:rsidP="00BC2341">
            <w:pPr>
              <w:rPr>
                <w:rFonts w:ascii="Arial" w:eastAsia="Times New Roman" w:hAnsi="Arial" w:cs="Arial"/>
                <w:sz w:val="28"/>
                <w:szCs w:val="28"/>
              </w:rPr>
            </w:pPr>
            <w:r w:rsidRPr="00BC2341">
              <w:rPr>
                <w:rFonts w:ascii="Arial" w:eastAsia="Times New Roman" w:hAnsi="Arial" w:cs="Arial"/>
                <w:sz w:val="28"/>
                <w:szCs w:val="28"/>
              </w:rPr>
              <w:t xml:space="preserve">Funds appropriated by the state and expressly or clearly identified as state expenditures in the relevant fiscal year for the sole purpose of funding the general operation of </w:t>
            </w:r>
            <w:r w:rsidRPr="00BC2341">
              <w:rPr>
                <w:rFonts w:ascii="Arial" w:eastAsia="Times New Roman" w:hAnsi="Arial" w:cs="Arial"/>
                <w:sz w:val="28"/>
                <w:szCs w:val="28"/>
              </w:rPr>
              <w:lastRenderedPageBreak/>
              <w:t>CILs meeting the requirements of Sections 702 and 725 of the Act.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lastRenderedPageBreak/>
              <w:t>EBD Waiver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Elderly, Blind, Disabled Medicaid waiver program for community based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EDGAR</w:t>
            </w:r>
          </w:p>
        </w:tc>
        <w:tc>
          <w:tcPr>
            <w:tcW w:w="7560" w:type="dxa"/>
            <w:shd w:val="clear" w:color="auto" w:fill="auto"/>
          </w:tcPr>
          <w:p w:rsidR="00BC2341" w:rsidRPr="00BC2341" w:rsidRDefault="00BC2341" w:rsidP="00BC2341">
            <w:pPr>
              <w:rPr>
                <w:rFonts w:ascii="Arial" w:eastAsia="Times New Roman" w:hAnsi="Arial" w:cs="Times New Roman"/>
                <w:sz w:val="28"/>
                <w:szCs w:val="28"/>
              </w:rPr>
            </w:pPr>
            <w:r w:rsidRPr="00BC2341">
              <w:rPr>
                <w:rFonts w:ascii="Arial" w:eastAsia="Times New Roman" w:hAnsi="Arial" w:cs="Arial"/>
                <w:color w:val="000000"/>
                <w:sz w:val="28"/>
                <w:szCs w:val="28"/>
              </w:rPr>
              <w:t>Education Department General Administration Regulations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504</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Section of the Act prohibiting discrimination – often used to describe students with disabilities who have, or want, access to mainstream classrooms.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FTE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equivalent of one person working full-time for one year.</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HCBS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Home and community based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HCPF</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Healthcare Policy and Finance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HHS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Health and Human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IDEA</w:t>
            </w:r>
          </w:p>
        </w:tc>
        <w:tc>
          <w:tcPr>
            <w:tcW w:w="7560" w:type="dxa"/>
            <w:shd w:val="clear" w:color="auto" w:fill="auto"/>
          </w:tcPr>
          <w:p w:rsidR="00BC2341" w:rsidRPr="00BC2341" w:rsidRDefault="00BC2341" w:rsidP="00BC2341">
            <w:pPr>
              <w:rPr>
                <w:rFonts w:ascii="Arial" w:eastAsia="Times New Roman" w:hAnsi="Arial" w:cs="Times New Roman"/>
                <w:b/>
                <w:sz w:val="28"/>
                <w:szCs w:val="28"/>
              </w:rPr>
            </w:pPr>
            <w:r w:rsidRPr="00BC2341">
              <w:rPr>
                <w:rFonts w:ascii="Arial" w:eastAsia="Times New Roman" w:hAnsi="Arial" w:cs="Arial"/>
                <w:bCs/>
                <w:color w:val="000000"/>
                <w:sz w:val="28"/>
                <w:szCs w:val="28"/>
              </w:rPr>
              <w:t>Individuals with Disabilities Education Act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IEP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Individualized Education Plan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IPE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Individualized Plan for Employment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Independent Living</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ILP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An Independent Living Plan for the provision of IL services mutually agreed upon by an appropriate staff member of a service provider and an individual with significant disabilities.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ILRU</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Independent Living Research and Utilization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JBC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Joint Budget Committee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Long term care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Extended need for personal assistance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MD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Muscular Dystrophy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Minority</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Alaskan Natives, American Indians, Asian Americans, Blacks (African Americans), </w:t>
            </w:r>
            <w:proofErr w:type="gramStart"/>
            <w:r w:rsidRPr="00BC2341">
              <w:rPr>
                <w:rFonts w:ascii="Arial" w:eastAsia="Times New Roman" w:hAnsi="Arial" w:cs="Times New Roman"/>
                <w:sz w:val="28"/>
                <w:szCs w:val="24"/>
              </w:rPr>
              <w:t>Hispanic  Americans</w:t>
            </w:r>
            <w:proofErr w:type="gramEnd"/>
            <w:r w:rsidRPr="00BC2341">
              <w:rPr>
                <w:rFonts w:ascii="Arial" w:eastAsia="Times New Roman" w:hAnsi="Arial" w:cs="Times New Roman"/>
                <w:sz w:val="28"/>
                <w:szCs w:val="24"/>
              </w:rPr>
              <w:t>, Native Hawaiians, and Pacific Islanders. (for the purpose of the 704 report)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MS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Multiple Sclerosis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NCIL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National Council on Independent Living</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NCD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National Council on Disability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NIDRR</w:t>
            </w:r>
          </w:p>
        </w:tc>
        <w:tc>
          <w:tcPr>
            <w:tcW w:w="7560" w:type="dxa"/>
            <w:shd w:val="clear" w:color="auto" w:fill="auto"/>
          </w:tcPr>
          <w:p w:rsidR="00BC2341" w:rsidRPr="00BC2341" w:rsidRDefault="00BC2341" w:rsidP="00BC2341">
            <w:pPr>
              <w:rPr>
                <w:rFonts w:ascii="Arial" w:eastAsia="Times New Roman" w:hAnsi="Arial" w:cs="Times New Roman"/>
                <w:b/>
                <w:sz w:val="28"/>
                <w:szCs w:val="28"/>
              </w:rPr>
            </w:pPr>
            <w:r w:rsidRPr="00BC2341">
              <w:rPr>
                <w:rFonts w:ascii="Arial" w:eastAsia="Times New Roman" w:hAnsi="Arial" w:cs="Arial"/>
                <w:bCs/>
                <w:color w:val="000000"/>
                <w:sz w:val="28"/>
                <w:szCs w:val="28"/>
              </w:rPr>
              <w:t>National Institute on Disability and Rehabilitation Research</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NOD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National Organization on Disability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OCR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Optical character recognition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OIB</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Older Individuals who are Blind</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Olmstead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A landmark Supreme Court decision upholding the ADA’s assertion that people with disabilities must be allowed the choice to live in the most integrated setting and least </w:t>
            </w:r>
            <w:r w:rsidRPr="00BC2341">
              <w:rPr>
                <w:rFonts w:ascii="Arial" w:eastAsia="Times New Roman" w:hAnsi="Arial" w:cs="Times New Roman"/>
                <w:sz w:val="28"/>
                <w:szCs w:val="24"/>
              </w:rPr>
              <w:lastRenderedPageBreak/>
              <w:t>restrictive environment.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lastRenderedPageBreak/>
              <w:t>OMB</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Office of Management and Budget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OSERS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Office of Special Education and Rehabilitation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Part B</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IL funding described in Title VII, Part B of the </w:t>
            </w:r>
            <w:proofErr w:type="gramStart"/>
            <w:r w:rsidRPr="00BC2341">
              <w:rPr>
                <w:rFonts w:ascii="Arial" w:eastAsia="Times New Roman" w:hAnsi="Arial" w:cs="Times New Roman"/>
                <w:sz w:val="28"/>
                <w:szCs w:val="24"/>
              </w:rPr>
              <w:t>Act .</w:t>
            </w:r>
            <w:proofErr w:type="gramEnd"/>
            <w:r w:rsidRPr="00BC2341">
              <w:rPr>
                <w:rFonts w:ascii="Arial" w:eastAsia="Times New Roman" w:hAnsi="Arial" w:cs="Times New Roman"/>
                <w:sz w:val="28"/>
                <w:szCs w:val="24"/>
              </w:rPr>
              <w:t xml:space="preserve">  Federal dollars distributed by the State in accordance with State IL Rules.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Part 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IL funding described in Title VII, Part C of the Act. CILS receive Part C funds directly from the federal government </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PAS</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Personal Assistance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Pass Through</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Funds that a provider receives on behalf of a consumer that are subsequently issued by the provider directly to the consumer (e.g., representative payee funds, Medicaid or state PAS funds).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People first language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Speaking with an emphasis on the person, rather than the disability. For example, instead of “blind man,” say “man who is blind.”</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PVA</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Paralyzed Veterans Association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Region 8</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RSA designation for the area including Colorado, Wyoming, Montana, Utah , North Dakota, South Dakota</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Reporting year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most recently completed federal fiscal project year starting October 1 and ending September 30.</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RSA</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Rehabilitation Services Administration at the United States Department of Education, Office of Special Education and Rehabilitative Services.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RTD</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Regional Transportation District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SCI</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Spinal cord injury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Section 722 State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 state in which RSA issues grants under Part C directly to eligible agencies for the planning, establishment, and operation of CILs.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Section 723 State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 state where the DSU issues grants or assistance contracts under Part C to eligible entities for the planning, establishment, and operation of CILs.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Section 8 voucher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Refers to a federally </w:t>
            </w:r>
            <w:proofErr w:type="gramStart"/>
            <w:r w:rsidRPr="00BC2341">
              <w:rPr>
                <w:rFonts w:ascii="Arial" w:eastAsia="Times New Roman" w:hAnsi="Arial" w:cs="Times New Roman"/>
                <w:sz w:val="28"/>
                <w:szCs w:val="24"/>
              </w:rPr>
              <w:t>subsidized  low</w:t>
            </w:r>
            <w:proofErr w:type="gramEnd"/>
            <w:r w:rsidRPr="00BC2341">
              <w:rPr>
                <w:rFonts w:ascii="Arial" w:eastAsia="Times New Roman" w:hAnsi="Arial" w:cs="Times New Roman"/>
                <w:sz w:val="28"/>
                <w:szCs w:val="24"/>
              </w:rPr>
              <w:t>-income housing program in which the owner of the voucher may use it to obtain rental housing in the community, as opposed to segregated “public housing.”</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SEP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Senior Employment Program </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SEP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Single Entry Point for determining eligibility for HCBS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Service </w:t>
            </w:r>
            <w:r w:rsidRPr="00BC2341">
              <w:rPr>
                <w:rFonts w:ascii="Arial" w:eastAsia="Times New Roman" w:hAnsi="Arial" w:cs="Times New Roman"/>
                <w:sz w:val="28"/>
                <w:szCs w:val="24"/>
              </w:rPr>
              <w:lastRenderedPageBreak/>
              <w:t>provider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lastRenderedPageBreak/>
              <w:t>Can mean: 1</w:t>
            </w:r>
            <w:proofErr w:type="gramStart"/>
            <w:r w:rsidRPr="00BC2341">
              <w:rPr>
                <w:rFonts w:ascii="Arial" w:eastAsia="Times New Roman" w:hAnsi="Arial" w:cs="Times New Roman"/>
                <w:sz w:val="28"/>
                <w:szCs w:val="24"/>
              </w:rPr>
              <w:t>)  A</w:t>
            </w:r>
            <w:proofErr w:type="gramEnd"/>
            <w:r w:rsidRPr="00BC2341">
              <w:rPr>
                <w:rFonts w:ascii="Arial" w:eastAsia="Times New Roman" w:hAnsi="Arial" w:cs="Times New Roman"/>
                <w:sz w:val="28"/>
                <w:szCs w:val="24"/>
              </w:rPr>
              <w:t xml:space="preserve"> DSU that directly provides IL services to </w:t>
            </w:r>
            <w:r w:rsidRPr="00BC2341">
              <w:rPr>
                <w:rFonts w:ascii="Arial" w:eastAsia="Times New Roman" w:hAnsi="Arial" w:cs="Times New Roman"/>
                <w:sz w:val="28"/>
                <w:szCs w:val="24"/>
              </w:rPr>
              <w:lastRenderedPageBreak/>
              <w:t>consumers; 2)  A CIL; or 3)  An entity that provides IL services under a grant or contract from the DSU.</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lastRenderedPageBreak/>
              <w:t>SHHP</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Supported Housing and Homeless Program</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SILC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Statewide Independent Living Council established in each State as required by Section 705 of the Act.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SILS </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A State Independent Living Services program funded under Part B, Chapter 1 of Title VII of the Act.</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SPIL</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 xml:space="preserve">A State Plan of Independent Living jointly </w:t>
            </w:r>
          </w:p>
          <w:p w:rsidR="00BC2341" w:rsidRPr="00BC2341" w:rsidRDefault="00BC2341" w:rsidP="00BC2341">
            <w:pPr>
              <w:rPr>
                <w:rFonts w:ascii="Arial" w:eastAsia="Times New Roman" w:hAnsi="Arial" w:cs="Times New Roman"/>
                <w:sz w:val="28"/>
                <w:szCs w:val="24"/>
              </w:rPr>
            </w:pPr>
            <w:proofErr w:type="gramStart"/>
            <w:r w:rsidRPr="00BC2341">
              <w:rPr>
                <w:rFonts w:ascii="Arial" w:eastAsia="Times New Roman" w:hAnsi="Arial" w:cs="Times New Roman"/>
                <w:sz w:val="28"/>
                <w:szCs w:val="24"/>
              </w:rPr>
              <w:t>developed</w:t>
            </w:r>
            <w:proofErr w:type="gramEnd"/>
            <w:r w:rsidRPr="00BC2341">
              <w:rPr>
                <w:rFonts w:ascii="Arial" w:eastAsia="Times New Roman" w:hAnsi="Arial" w:cs="Times New Roman"/>
                <w:sz w:val="28"/>
                <w:szCs w:val="24"/>
              </w:rPr>
              <w:t xml:space="preserve"> and signed by the director of the designated state unit(s) and the chairperson of the Statewide Independent Living Council, acting on behalf of and at the direction of the Council.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SRC</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State Rehabilitation Council</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SSDI</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Social Security Disability Insurance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SSI</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Social Security Income</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TABOR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Taxpayer’s Bill of Rights</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TACE</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Technical Assistance and Continuing Education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TBI</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Traumatic Brain Injury</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Tech Act</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The Assistive Technology Act of 1988</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VA</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Veterans Administration</w:t>
            </w:r>
          </w:p>
        </w:tc>
      </w:tr>
      <w:tr w:rsidR="00BC2341" w:rsidRPr="00BC2341" w:rsidTr="002F584E">
        <w:tc>
          <w:tcPr>
            <w:tcW w:w="2148"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Workforce Center</w:t>
            </w:r>
          </w:p>
        </w:tc>
        <w:tc>
          <w:tcPr>
            <w:tcW w:w="7560" w:type="dxa"/>
            <w:shd w:val="clear" w:color="auto" w:fill="auto"/>
          </w:tcPr>
          <w:p w:rsidR="00BC2341" w:rsidRPr="00BC2341" w:rsidRDefault="00BC2341" w:rsidP="00BC2341">
            <w:pPr>
              <w:rPr>
                <w:rFonts w:ascii="Arial" w:eastAsia="Times New Roman" w:hAnsi="Arial" w:cs="Times New Roman"/>
                <w:sz w:val="28"/>
                <w:szCs w:val="24"/>
              </w:rPr>
            </w:pPr>
            <w:r w:rsidRPr="00BC2341">
              <w:rPr>
                <w:rFonts w:ascii="Arial" w:eastAsia="Times New Roman" w:hAnsi="Arial" w:cs="Times New Roman"/>
                <w:sz w:val="28"/>
                <w:szCs w:val="24"/>
              </w:rPr>
              <w:t>Federally funded, Department of labor governed, county-managed employment services</w:t>
            </w:r>
          </w:p>
        </w:tc>
      </w:tr>
    </w:tbl>
    <w:p w:rsidR="00BC2341" w:rsidRPr="00BC2341" w:rsidRDefault="00BC2341" w:rsidP="00BC2341">
      <w:pPr>
        <w:rPr>
          <w:rFonts w:ascii="Arial" w:eastAsia="Times New Roman" w:hAnsi="Arial" w:cs="Times New Roman"/>
          <w:sz w:val="28"/>
          <w:szCs w:val="24"/>
        </w:rPr>
      </w:pPr>
    </w:p>
    <w:p w:rsidR="00BC2341" w:rsidRPr="00BC2341" w:rsidRDefault="00BC2341" w:rsidP="00BC2341">
      <w:pPr>
        <w:rPr>
          <w:rFonts w:ascii="Arial" w:eastAsia="Times New Roman" w:hAnsi="Arial" w:cs="Arial"/>
          <w:b/>
          <w:i/>
          <w:sz w:val="28"/>
          <w:szCs w:val="24"/>
        </w:rPr>
      </w:pPr>
    </w:p>
    <w:p w:rsidR="00BC2341" w:rsidRPr="00BC2341" w:rsidRDefault="00BC2341" w:rsidP="00BC2341">
      <w:pPr>
        <w:rPr>
          <w:rFonts w:ascii="Arial" w:eastAsia="Times New Roman" w:hAnsi="Arial" w:cs="Arial"/>
          <w:i/>
          <w:sz w:val="28"/>
          <w:szCs w:val="24"/>
        </w:rPr>
      </w:pPr>
    </w:p>
    <w:p w:rsidR="00036738" w:rsidRPr="00AF7D57" w:rsidRDefault="00036738">
      <w:pPr>
        <w:rPr>
          <w:rFonts w:ascii="Arial" w:hAnsi="Arial" w:cs="Arial"/>
          <w:sz w:val="28"/>
          <w:szCs w:val="28"/>
        </w:rPr>
      </w:pPr>
      <w:bookmarkStart w:id="0" w:name="_GoBack"/>
      <w:bookmarkEnd w:id="0"/>
    </w:p>
    <w:sectPr w:rsidR="00036738" w:rsidRPr="00AF7D57" w:rsidSect="00026BF1">
      <w:headerReference w:type="default" r:id="rId5"/>
      <w:footerReference w:type="default" r:id="rId6"/>
      <w:pgSz w:w="12240" w:h="15840" w:code="1"/>
      <w:pgMar w:top="1440" w:right="108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4C" w:rsidRDefault="00BC2341">
    <w:pPr>
      <w:pStyle w:val="Footer"/>
    </w:pPr>
    <w:r>
      <w:fldChar w:fldCharType="begin"/>
    </w:r>
    <w:r>
      <w:instrText xml:space="preserve"> PAGE   \* MERGEFORMAT </w:instrText>
    </w:r>
    <w:r>
      <w:fldChar w:fldCharType="separate"/>
    </w:r>
    <w:r>
      <w:rPr>
        <w:noProof/>
      </w:rPr>
      <w:t>2</w:t>
    </w:r>
    <w:r>
      <w:rPr>
        <w:noProof/>
      </w:rPr>
      <w:fldChar w:fldCharType="end"/>
    </w:r>
  </w:p>
  <w:p w:rsidR="0092754C" w:rsidRPr="00026BF1" w:rsidRDefault="00BC2341" w:rsidP="00026BF1">
    <w:pPr>
      <w:pStyle w:val="Footer"/>
      <w:jc w:val="righ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4C" w:rsidRPr="00B153CC" w:rsidRDefault="00BC2341">
    <w:pPr>
      <w:pStyle w:val="Header"/>
      <w:rPr>
        <w:rFonts w:ascii="Arial Black" w:hAnsi="Arial Black"/>
        <w:color w:val="008000"/>
      </w:rPr>
    </w:pPr>
    <w:r>
      <w:rPr>
        <w:rFonts w:ascii="Arial Black" w:hAnsi="Arial Black"/>
        <w:noProof/>
        <w:color w:val="00800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457200</wp:posOffset>
              </wp:positionV>
              <wp:extent cx="579120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" strokecolor="green" strokeweight="2.25pt"/>
          </w:pict>
        </mc:Fallback>
      </mc:AlternateContent>
    </w:r>
    <w:r>
      <w:rPr>
        <w:rFonts w:ascii="Arial Black" w:hAnsi="Arial Black"/>
        <w:noProof/>
        <w:color w:val="008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457200</wp:posOffset>
              </wp:positionV>
              <wp:extent cx="3048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Q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pzec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"/>
          </w:pict>
        </mc:Fallback>
      </mc:AlternateContent>
    </w:r>
    <w:r>
      <w:rPr>
        <w:rFonts w:ascii="Arial Black" w:hAnsi="Arial Black"/>
        <w:noProof/>
        <w:color w:val="008000"/>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0</wp:posOffset>
          </wp:positionV>
          <wp:extent cx="1295400" cy="459740"/>
          <wp:effectExtent l="0" t="0" r="0" b="0"/>
          <wp:wrapNone/>
          <wp:docPr id="1" name="Picture 1"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3CC">
      <w:rPr>
        <w:rFonts w:ascii="Arial Black" w:hAnsi="Arial Black"/>
        <w:color w:val="008000"/>
      </w:rPr>
      <w:t>SILC Operations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hdrShapeDefaults>
    <o:shapedefaults v:ext="edit" spidmax="2049"/>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41"/>
    <w:rsid w:val="00036738"/>
    <w:rsid w:val="00AF7D57"/>
    <w:rsid w:val="00BC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341"/>
    <w:pPr>
      <w:tabs>
        <w:tab w:val="center" w:pos="4680"/>
        <w:tab w:val="right" w:pos="9360"/>
      </w:tabs>
    </w:pPr>
  </w:style>
  <w:style w:type="character" w:customStyle="1" w:styleId="HeaderChar">
    <w:name w:val="Header Char"/>
    <w:basedOn w:val="DefaultParagraphFont"/>
    <w:link w:val="Header"/>
    <w:uiPriority w:val="99"/>
    <w:semiHidden/>
    <w:rsid w:val="00BC2341"/>
  </w:style>
  <w:style w:type="paragraph" w:styleId="Footer">
    <w:name w:val="footer"/>
    <w:basedOn w:val="Normal"/>
    <w:link w:val="FooterChar"/>
    <w:uiPriority w:val="99"/>
    <w:semiHidden/>
    <w:unhideWhenUsed/>
    <w:rsid w:val="00BC2341"/>
    <w:pPr>
      <w:tabs>
        <w:tab w:val="center" w:pos="4680"/>
        <w:tab w:val="right" w:pos="9360"/>
      </w:tabs>
    </w:pPr>
  </w:style>
  <w:style w:type="character" w:customStyle="1" w:styleId="FooterChar">
    <w:name w:val="Footer Char"/>
    <w:basedOn w:val="DefaultParagraphFont"/>
    <w:link w:val="Footer"/>
    <w:uiPriority w:val="99"/>
    <w:semiHidden/>
    <w:rsid w:val="00BC2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341"/>
    <w:pPr>
      <w:tabs>
        <w:tab w:val="center" w:pos="4680"/>
        <w:tab w:val="right" w:pos="9360"/>
      </w:tabs>
    </w:pPr>
  </w:style>
  <w:style w:type="character" w:customStyle="1" w:styleId="HeaderChar">
    <w:name w:val="Header Char"/>
    <w:basedOn w:val="DefaultParagraphFont"/>
    <w:link w:val="Header"/>
    <w:uiPriority w:val="99"/>
    <w:semiHidden/>
    <w:rsid w:val="00BC2341"/>
  </w:style>
  <w:style w:type="paragraph" w:styleId="Footer">
    <w:name w:val="footer"/>
    <w:basedOn w:val="Normal"/>
    <w:link w:val="FooterChar"/>
    <w:uiPriority w:val="99"/>
    <w:semiHidden/>
    <w:unhideWhenUsed/>
    <w:rsid w:val="00BC2341"/>
    <w:pPr>
      <w:tabs>
        <w:tab w:val="center" w:pos="4680"/>
        <w:tab w:val="right" w:pos="9360"/>
      </w:tabs>
    </w:pPr>
  </w:style>
  <w:style w:type="character" w:customStyle="1" w:styleId="FooterChar">
    <w:name w:val="Footer Char"/>
    <w:basedOn w:val="DefaultParagraphFont"/>
    <w:link w:val="Footer"/>
    <w:uiPriority w:val="99"/>
    <w:semiHidden/>
    <w:rsid w:val="00BC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Neal</dc:creator>
  <cp:lastModifiedBy>Judy Neal</cp:lastModifiedBy>
  <cp:revision>1</cp:revision>
  <dcterms:created xsi:type="dcterms:W3CDTF">2013-06-15T21:18:00Z</dcterms:created>
  <dcterms:modified xsi:type="dcterms:W3CDTF">2013-06-15T21:19:00Z</dcterms:modified>
</cp:coreProperties>
</file>